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722"/>
        </w:tabs>
        <w:snapToGrid w:val="0"/>
        <w:spacing w:line="560" w:lineRule="exact"/>
        <w:jc w:val="center"/>
        <w:rPr>
          <w:rFonts w:hint="eastAsia" w:ascii="宋体" w:hAnsi="宋体"/>
          <w:bCs/>
          <w:snapToGrid w:val="0"/>
          <w:color w:val="000000"/>
          <w:kern w:val="0"/>
          <w:sz w:val="44"/>
          <w:szCs w:val="44"/>
          <w:highlight w:val="none"/>
        </w:rPr>
      </w:pPr>
    </w:p>
    <w:p>
      <w:pPr>
        <w:tabs>
          <w:tab w:val="left" w:pos="1722"/>
        </w:tabs>
        <w:snapToGrid w:val="0"/>
        <w:spacing w:line="560" w:lineRule="exact"/>
        <w:jc w:val="center"/>
        <w:rPr>
          <w:rFonts w:hint="eastAsia" w:ascii="宋体" w:hAnsi="宋体"/>
          <w:bCs/>
          <w:snapToGrid w:val="0"/>
          <w:color w:val="000000"/>
          <w:kern w:val="0"/>
          <w:sz w:val="44"/>
          <w:szCs w:val="44"/>
          <w:highlight w:val="none"/>
        </w:rPr>
      </w:pPr>
    </w:p>
    <w:p>
      <w:pPr>
        <w:tabs>
          <w:tab w:val="left" w:pos="1722"/>
        </w:tabs>
        <w:snapToGrid w:val="0"/>
        <w:spacing w:line="560" w:lineRule="exact"/>
        <w:jc w:val="center"/>
        <w:rPr>
          <w:rFonts w:hint="eastAsia" w:ascii="宋体" w:hAnsi="宋体"/>
          <w:bCs/>
          <w:snapToGrid w:val="0"/>
          <w:color w:val="000000"/>
          <w:kern w:val="0"/>
          <w:sz w:val="44"/>
          <w:szCs w:val="44"/>
          <w:highlight w:val="none"/>
        </w:rPr>
      </w:pPr>
    </w:p>
    <w:p>
      <w:pPr>
        <w:tabs>
          <w:tab w:val="left" w:pos="1722"/>
        </w:tabs>
        <w:snapToGrid w:val="0"/>
        <w:spacing w:line="560" w:lineRule="exact"/>
        <w:jc w:val="center"/>
        <w:rPr>
          <w:rFonts w:hint="eastAsia" w:ascii="宋体" w:hAnsi="宋体"/>
          <w:bCs/>
          <w:snapToGrid w:val="0"/>
          <w:color w:val="000000"/>
          <w:kern w:val="0"/>
          <w:sz w:val="44"/>
          <w:szCs w:val="44"/>
          <w:highlight w:val="none"/>
        </w:rPr>
      </w:pPr>
    </w:p>
    <w:p>
      <w:pPr>
        <w:tabs>
          <w:tab w:val="left" w:pos="1722"/>
        </w:tabs>
        <w:snapToGrid w:val="0"/>
        <w:spacing w:line="560" w:lineRule="exact"/>
        <w:rPr>
          <w:rFonts w:hint="eastAsia" w:ascii="宋体" w:hAnsi="宋体"/>
          <w:bCs/>
          <w:snapToGrid w:val="0"/>
          <w:color w:val="000000"/>
          <w:kern w:val="0"/>
          <w:sz w:val="44"/>
          <w:szCs w:val="44"/>
          <w:highlight w:val="none"/>
        </w:rPr>
      </w:pPr>
    </w:p>
    <w:p>
      <w:pPr>
        <w:tabs>
          <w:tab w:val="left" w:pos="1722"/>
        </w:tabs>
        <w:snapToGrid w:val="0"/>
        <w:spacing w:line="560" w:lineRule="exact"/>
        <w:rPr>
          <w:rFonts w:hint="eastAsia" w:ascii="宋体" w:hAnsi="宋体"/>
          <w:bCs/>
          <w:snapToGrid w:val="0"/>
          <w:color w:val="000000"/>
          <w:kern w:val="0"/>
          <w:sz w:val="44"/>
          <w:szCs w:val="44"/>
          <w:highlight w:val="none"/>
        </w:rPr>
      </w:pPr>
    </w:p>
    <w:p>
      <w:pPr>
        <w:tabs>
          <w:tab w:val="left" w:pos="1722"/>
        </w:tabs>
        <w:snapToGrid w:val="0"/>
        <w:spacing w:line="560" w:lineRule="exact"/>
        <w:rPr>
          <w:rFonts w:hint="eastAsia" w:ascii="宋体" w:hAnsi="宋体"/>
          <w:bCs/>
          <w:snapToGrid w:val="0"/>
          <w:color w:val="000000"/>
          <w:kern w:val="0"/>
          <w:sz w:val="44"/>
          <w:szCs w:val="44"/>
          <w:highlight w:val="none"/>
        </w:rPr>
      </w:pPr>
    </w:p>
    <w:p>
      <w:pPr>
        <w:tabs>
          <w:tab w:val="left" w:pos="1722"/>
        </w:tabs>
        <w:snapToGrid w:val="0"/>
        <w:spacing w:line="560" w:lineRule="exact"/>
        <w:jc w:val="center"/>
        <w:rPr>
          <w:rFonts w:hint="eastAsia" w:ascii="仿宋_GB2312" w:eastAsia="仿宋_GB2312"/>
          <w:color w:val="FF0000"/>
          <w:sz w:val="32"/>
          <w:szCs w:val="32"/>
          <w:highlight w:val="none"/>
        </w:rPr>
      </w:pPr>
      <w:r>
        <w:rPr>
          <w:rFonts w:hint="eastAsia" w:ascii="宋体" w:hAnsi="宋体"/>
          <w:sz w:val="30"/>
          <w:szCs w:val="30"/>
          <w:highlight w:val="none"/>
        </w:rPr>
        <w:t>皖工教务〔202</w:t>
      </w:r>
      <w:r>
        <w:rPr>
          <w:rFonts w:hint="eastAsia" w:ascii="宋体" w:hAnsi="宋体"/>
          <w:sz w:val="30"/>
          <w:szCs w:val="30"/>
          <w:highlight w:val="none"/>
          <w:lang w:val="en-US" w:eastAsia="zh-CN"/>
        </w:rPr>
        <w:t>4</w:t>
      </w:r>
      <w:r>
        <w:rPr>
          <w:rFonts w:hint="eastAsia" w:ascii="宋体" w:hAnsi="宋体"/>
          <w:sz w:val="30"/>
          <w:szCs w:val="30"/>
          <w:highlight w:val="none"/>
        </w:rPr>
        <w:t>〕</w:t>
      </w:r>
      <w:r>
        <w:rPr>
          <w:rFonts w:hint="eastAsia" w:ascii="宋体" w:hAnsi="宋体"/>
          <w:sz w:val="30"/>
          <w:szCs w:val="30"/>
          <w:highlight w:val="none"/>
          <w:lang w:val="en-US" w:eastAsia="zh-CN"/>
        </w:rPr>
        <w:t>13</w:t>
      </w:r>
      <w:r>
        <w:rPr>
          <w:rFonts w:hint="eastAsia" w:ascii="宋体" w:hAnsi="宋体"/>
          <w:sz w:val="30"/>
          <w:szCs w:val="30"/>
          <w:highlight w:val="none"/>
        </w:rPr>
        <w:t xml:space="preserve">号 </w:t>
      </w:r>
      <w:r>
        <w:rPr>
          <w:rFonts w:hint="eastAsia" w:ascii="仿宋_GB2312" w:eastAsia="仿宋_GB2312"/>
          <w:color w:val="FF0000"/>
          <w:sz w:val="32"/>
          <w:szCs w:val="32"/>
          <w:highlight w:val="none"/>
        </w:rPr>
        <w:t xml:space="preserve"> </w:t>
      </w:r>
    </w:p>
    <w:p>
      <w:pPr>
        <w:tabs>
          <w:tab w:val="left" w:pos="1722"/>
        </w:tabs>
        <w:snapToGrid w:val="0"/>
        <w:spacing w:line="560" w:lineRule="exact"/>
        <w:rPr>
          <w:rFonts w:hint="eastAsia" w:ascii="宋体" w:hAnsi="宋体" w:eastAsia="宋体" w:cs="Times New Roman"/>
          <w:bCs/>
          <w:snapToGrid w:val="0"/>
          <w:color w:val="000000"/>
          <w:kern w:val="0"/>
          <w:sz w:val="44"/>
          <w:szCs w:val="44"/>
        </w:rPr>
      </w:pPr>
    </w:p>
    <w:p>
      <w:pPr>
        <w:tabs>
          <w:tab w:val="left" w:pos="1722"/>
        </w:tabs>
        <w:snapToGrid w:val="0"/>
        <w:spacing w:line="560" w:lineRule="exact"/>
        <w:rPr>
          <w:rFonts w:hint="eastAsia" w:ascii="宋体" w:hAnsi="宋体" w:eastAsia="宋体" w:cs="Times New Roman"/>
          <w:bCs/>
          <w:snapToGrid w:val="0"/>
          <w:color w:val="000000"/>
          <w:kern w:val="0"/>
          <w:sz w:val="44"/>
          <w:szCs w:val="4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宋体" w:hAnsi="宋体" w:eastAsia="宋体" w:cs="宋体"/>
          <w:b/>
          <w:bCs w:val="0"/>
          <w:kern w:val="2"/>
          <w:sz w:val="44"/>
          <w:szCs w:val="44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kern w:val="2"/>
          <w:sz w:val="44"/>
          <w:szCs w:val="44"/>
          <w:lang w:val="en-US" w:eastAsia="zh-CN" w:bidi="ar-SA"/>
        </w:rPr>
        <w:t>关于做好2023-2024学年第二学期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宋体" w:hAnsi="宋体" w:eastAsia="宋体" w:cs="宋体"/>
          <w:b/>
          <w:bCs w:val="0"/>
          <w:kern w:val="2"/>
          <w:sz w:val="44"/>
          <w:szCs w:val="44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kern w:val="2"/>
          <w:sz w:val="44"/>
          <w:szCs w:val="44"/>
          <w:lang w:val="en-US" w:eastAsia="zh-CN" w:bidi="ar-SA"/>
        </w:rPr>
        <w:t>学业预警工作的通知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  <w:t>各二级学院：</w:t>
      </w:r>
    </w:p>
    <w:p>
      <w:pPr>
        <w:keepNext w:val="0"/>
        <w:keepLines w:val="0"/>
        <w:pageBreakBefore w:val="0"/>
        <w:tabs>
          <w:tab w:val="left" w:pos="49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  <w:t>根据《皖江工学院本科生学籍管理实施办法（修订）》（皖工校政〔2023〕130号）和《皖江工学院学业预警管理办法（试行）》（皖工校政〔2023〕131号）文件规定，结合当前在校学生学业修读实际情况，现就2023-2024学年度第二学期学业预警有关工作要求通知如下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u w:val="none"/>
          <w:lang w:val="en-US" w:eastAsia="zh-CN" w:bidi="ar-SA"/>
        </w:rPr>
        <w:t>一、学业预警等级及措施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  <w:t xml:space="preserve">1.二级预警：每学期结束时，对入学以来成绩排名（按平均学分绩点排序）在专业最后5%且平均学分绩点未达到3.0的学生,给予跟班试读处理并予以二级预警。警示办法：二级学院给学生下达《皖江工学院学业预警通知单》并通知学生家长；辅导员与学生进行警示教育谈话，并与学生家长沟通后填写《皖江工学院学业预警学生谈话记录表》。学生辅导员可以电话、短信等形式告知家长，并留存相关信息记录。如确实无法联系到学生家长的，需在《皖江工学院学业预警学生谈话记录表》中说明原因。 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  <w:t>2.一级预警：每学年结束时，根据《皖江工学院本科生学籍管理实施办法（修订）》，学生在校学习期间达留级条件者，给予留级处理并予以一级预警。警示办法：二级学院给学生下达《皖江工学院学业预警通知单》并通知学生家长；辅导员邀请学生家长到校面谈并填写《皖江工学院学业预警学生谈话记录表》,如学生家长无法来校，可通过电话、网络等方式完成与家长的谈话并做好记录和存档工作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  <w:t>3.各二级学院根据预警学生名单（附件1），对达到预警条件的学生进行逐一谈话。所有学业预警的学生，应制定有针对性的学业帮扶和追赶计划，做好学生指导和跟踪管理工作。定期对学生的学习情况进行检查，督促学生提高学习的主动性、自觉性，保证课程学习效果和质量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3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u w:val="none"/>
          <w:lang w:val="en-US" w:eastAsia="zh-CN" w:bidi="ar-SA"/>
        </w:rPr>
        <w:t>二、预警结果材料报送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640" w:firstLineChars="200"/>
        <w:jc w:val="both"/>
        <w:textAlignment w:val="auto"/>
        <w:rPr>
          <w:rFonts w:hint="default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  <w:t>（一）二级学院负责归档保存每个预警学生的《皖江工学院学业预警通知单》《皖江工学院学业预警谈话记录表》</w:t>
      </w:r>
      <w:bookmarkStart w:id="0" w:name="_GoBack"/>
      <w:r>
        <w:rPr>
          <w:rFonts w:hint="eastAsia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  <w:t>等材料。各二级学院要按通知要求，扎实有效地做好本学院</w:t>
      </w:r>
      <w:bookmarkEnd w:id="0"/>
      <w:r>
        <w:rPr>
          <w:rFonts w:hint="eastAsia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  <w:t>的学生学业预警和相关材料的规范存档工作。预警教育过程必须有书面记录并经当事人签字存档。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  <w:t xml:space="preserve">（二）请在4月30日前，各学院就该项工作开展情况撰写成报告（以红头文件形式报送，盖章扫描PDF版本）发送至教务部学籍管理科邮箱 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u w:val="none"/>
          <w:lang w:val="en-US" w:eastAsia="zh-CN" w:bidi="ar-SA"/>
        </w:rPr>
        <w:fldChar w:fldCharType="begin"/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u w:val="none"/>
          <w:lang w:val="en-US" w:eastAsia="zh-CN" w:bidi="ar-SA"/>
        </w:rPr>
        <w:instrText xml:space="preserve"> HYPERLINK "mailto:（jwbxjglk@163.com）。" </w:instrTex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u w:val="none"/>
          <w:lang w:val="en-US" w:eastAsia="zh-CN" w:bidi="ar-SA"/>
        </w:rPr>
        <w:fldChar w:fldCharType="separate"/>
      </w:r>
      <w:r>
        <w:rPr>
          <w:rStyle w:val="7"/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（jwbxjglk@163.com）。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u w:val="none"/>
          <w:lang w:val="en-US" w:eastAsia="zh-CN" w:bidi="ar-SA"/>
        </w:rPr>
        <w:fldChar w:fldCharType="end"/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  <w:t xml:space="preserve"> 附件：1.2023-2024-2学期学业预警名单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1760" w:leftChars="0" w:firstLine="0" w:firstLineChars="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  <w:t>皖江工学院学业预警通知单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1760" w:leftChars="0" w:firstLine="0" w:firstLineChars="0"/>
        <w:jc w:val="both"/>
        <w:textAlignment w:val="auto"/>
        <w:rPr>
          <w:rFonts w:hint="default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  <w:t>皖江工学院学业预警谈话记录表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jc w:val="center"/>
        <w:textAlignment w:val="auto"/>
        <w:rPr>
          <w:rFonts w:hint="eastAsia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  <w:t xml:space="preserve">                                 教务部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jc w:val="right"/>
        <w:textAlignment w:val="auto"/>
        <w:rPr>
          <w:rFonts w:hint="default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  <w:t>2024年4月1日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textAlignment w:val="auto"/>
        <w:rPr>
          <w:rFonts w:hint="eastAsia" w:ascii="宋体" w:hAnsi="宋体" w:eastAsia="宋体" w:cs="宋体"/>
          <w:sz w:val="15"/>
          <w:szCs w:val="1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textAlignment w:val="auto"/>
        <w:rPr>
          <w:rFonts w:hint="eastAsia" w:ascii="宋体" w:hAnsi="宋体" w:eastAsia="宋体" w:cs="宋体"/>
          <w:sz w:val="15"/>
          <w:szCs w:val="1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textAlignment w:val="auto"/>
        <w:rPr>
          <w:rFonts w:hint="eastAsia" w:ascii="宋体" w:hAnsi="宋体" w:eastAsia="宋体" w:cs="宋体"/>
          <w:sz w:val="15"/>
          <w:szCs w:val="1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textAlignment w:val="auto"/>
        <w:rPr>
          <w:rFonts w:hint="eastAsia" w:ascii="宋体" w:hAnsi="宋体" w:eastAsia="宋体" w:cs="宋体"/>
          <w:sz w:val="15"/>
          <w:szCs w:val="1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textAlignment w:val="auto"/>
        <w:rPr>
          <w:rFonts w:hint="eastAsia" w:ascii="宋体" w:hAnsi="宋体" w:eastAsia="宋体" w:cs="宋体"/>
          <w:sz w:val="15"/>
          <w:szCs w:val="1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textAlignment w:val="auto"/>
        <w:rPr>
          <w:rFonts w:hint="eastAsia" w:ascii="宋体" w:hAnsi="宋体" w:eastAsia="宋体" w:cs="宋体"/>
          <w:sz w:val="15"/>
          <w:szCs w:val="1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textAlignment w:val="auto"/>
        <w:rPr>
          <w:rFonts w:hint="eastAsia" w:ascii="宋体" w:hAnsi="宋体" w:eastAsia="宋体" w:cs="宋体"/>
          <w:sz w:val="15"/>
          <w:szCs w:val="1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textAlignment w:val="auto"/>
        <w:rPr>
          <w:rFonts w:hint="eastAsia" w:ascii="宋体" w:hAnsi="宋体" w:eastAsia="宋体" w:cs="宋体"/>
          <w:sz w:val="15"/>
          <w:szCs w:val="1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textAlignment w:val="auto"/>
        <w:rPr>
          <w:rFonts w:hint="eastAsia" w:ascii="宋体" w:hAnsi="宋体" w:eastAsia="宋体" w:cs="宋体"/>
          <w:sz w:val="15"/>
          <w:szCs w:val="1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textAlignment w:val="auto"/>
        <w:rPr>
          <w:rFonts w:hint="eastAsia" w:ascii="宋体" w:hAnsi="宋体" w:eastAsia="宋体" w:cs="宋体"/>
          <w:sz w:val="15"/>
          <w:szCs w:val="1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textAlignment w:val="auto"/>
        <w:rPr>
          <w:rFonts w:hint="eastAsia" w:ascii="宋体" w:hAnsi="宋体" w:eastAsia="宋体" w:cs="宋体"/>
          <w:sz w:val="15"/>
          <w:szCs w:val="1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textAlignment w:val="auto"/>
        <w:rPr>
          <w:rFonts w:hint="eastAsia" w:ascii="宋体" w:hAnsi="宋体" w:eastAsia="宋体" w:cs="宋体"/>
          <w:sz w:val="15"/>
          <w:szCs w:val="1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textAlignment w:val="auto"/>
        <w:rPr>
          <w:rFonts w:hint="eastAsia" w:ascii="宋体" w:hAnsi="宋体" w:eastAsia="宋体" w:cs="宋体"/>
          <w:sz w:val="15"/>
          <w:szCs w:val="18"/>
        </w:rPr>
      </w:pPr>
    </w:p>
    <w:p>
      <w:pPr>
        <w:ind w:firstLine="280" w:firstLineChars="100"/>
        <w:rPr>
          <w:rFonts w:hint="eastAsia" w:ascii="宋体" w:hAnsi="宋体" w:eastAsia="宋体" w:cs="宋体"/>
          <w:sz w:val="15"/>
          <w:szCs w:val="18"/>
        </w:rPr>
      </w:pPr>
      <w:r>
        <w:rPr>
          <w:rFonts w:ascii="仿宋_GB2312" w:hAnsi="华文中宋" w:eastAsia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308610</wp:posOffset>
                </wp:positionV>
                <wp:extent cx="5257800" cy="635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5pt;margin-top:24.3pt;height:0.05pt;width:414pt;z-index:251660288;mso-width-relative:page;mso-height-relative:page;" filled="f" stroked="t" coordsize="21600,21600" o:gfxdata="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SZw2D1gAAAAgBAAAPAAAAAAAAAAEAIAAAACIAAABkcnMvZG93bnJldi54bWxQ&#10;SwECFAAUAAAACACHTuJAeU2R8fkBAAD0AwAADgAAAAAAAAABACAAAAAl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eastAsia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257800" cy="0"/>
                <wp:effectExtent l="0" t="4445" r="0" b="508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0pt;height:0pt;width:414pt;z-index:251659264;mso-width-relative:page;mso-height-relative:page;" filled="f" stroked="t" coordsize="21600,21600" o:gfxdata="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JYVf90AAAAAIBAAAPAAAAAAAAAAEAIAAAACIAAABkcnMvZG93bnJldi54bWxQSwECFAAU&#10;AAAACACHTuJAAVDe+PkBAADyAwAADgAAAAAAAAABACAAAAAf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 w:eastAsia="仿宋_GB2312"/>
          <w:sz w:val="28"/>
          <w:szCs w:val="28"/>
        </w:rPr>
        <w:t>皖江工学院</w:t>
      </w:r>
      <w:r>
        <w:rPr>
          <w:rFonts w:hint="eastAsia" w:ascii="仿宋_GB2312" w:hAnsi="华文中宋" w:eastAsia="仿宋_GB2312"/>
          <w:sz w:val="28"/>
          <w:szCs w:val="28"/>
          <w:lang w:eastAsia="zh-CN"/>
        </w:rPr>
        <w:t>教务</w:t>
      </w:r>
      <w:r>
        <w:rPr>
          <w:rFonts w:hint="eastAsia" w:ascii="仿宋_GB2312" w:hAnsi="华文中宋" w:eastAsia="仿宋_GB2312"/>
          <w:sz w:val="28"/>
          <w:szCs w:val="28"/>
        </w:rPr>
        <w:t xml:space="preserve">部                  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华文中宋" w:eastAsia="仿宋_GB2312"/>
          <w:sz w:val="28"/>
          <w:szCs w:val="28"/>
        </w:rPr>
        <w:t xml:space="preserve"> 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华文中宋" w:eastAsia="仿宋_GB2312"/>
          <w:sz w:val="28"/>
          <w:szCs w:val="28"/>
        </w:rPr>
        <w:t>202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华文中宋" w:eastAsia="仿宋_GB2312"/>
          <w:sz w:val="28"/>
          <w:szCs w:val="28"/>
        </w:rPr>
        <w:t>年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华文中宋" w:eastAsia="仿宋_GB2312"/>
          <w:sz w:val="28"/>
          <w:szCs w:val="28"/>
        </w:rPr>
        <w:t>月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华文中宋" w:eastAsia="仿宋_GB2312"/>
          <w:sz w:val="28"/>
          <w:szCs w:val="28"/>
        </w:rPr>
        <w:t>日印发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5B8B46"/>
    <w:multiLevelType w:val="singleLevel"/>
    <w:tmpl w:val="1A5B8B46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176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lOTY5NTQxOGQ4ODk5NjdiZjc3ODBkMTZiYjA0OWUifQ=="/>
  </w:docVars>
  <w:rsids>
    <w:rsidRoot w:val="00000000"/>
    <w:rsid w:val="0705161A"/>
    <w:rsid w:val="09491D98"/>
    <w:rsid w:val="22595CEE"/>
    <w:rsid w:val="2AB457DF"/>
    <w:rsid w:val="387F6B2E"/>
    <w:rsid w:val="41EE1B1B"/>
    <w:rsid w:val="4D5113FB"/>
    <w:rsid w:val="55C2352D"/>
    <w:rsid w:val="6F0870B0"/>
    <w:rsid w:val="79D76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autoRedefine/>
    <w:qFormat/>
    <w:uiPriority w:val="0"/>
    <w:rPr>
      <w:b/>
    </w:rPr>
  </w:style>
  <w:style w:type="character" w:styleId="7">
    <w:name w:val="Hyperlink"/>
    <w:basedOn w:val="5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2024-03-28T07:12:00Z</dcterms:created>
  <dc:creator>Administrator</dc:creator>
  <cp:lastModifiedBy>86180</cp:lastModifiedBy>
  <dcterms:modified xsi:type="dcterms:W3CDTF">2024-04-28T02:56:50Z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8D9C223CBA3B4F9FB41B589AF4BA5830_12</vt:lpwstr>
  </property>
</Properties>
</file>